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45C" w:rsidRDefault="00AA545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Sustaining the Profitability of Agriculture</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John E. Ikerd  -  University of Missouri</w:t>
      </w:r>
    </w:p>
    <w:p w:rsidR="00AA545C" w:rsidRDefault="00AA545C">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 . .</w:t>
      </w:r>
    </w:p>
    <w:p w:rsidR="00AA545C" w:rsidRDefault="00AA545C">
      <w:pPr>
        <w:widowControl w:val="0"/>
        <w:autoSpaceDE w:val="0"/>
        <w:autoSpaceDN w:val="0"/>
        <w:adjustRightInd w:val="0"/>
        <w:spacing w:before="100" w:after="100" w:line="240" w:lineRule="auto"/>
        <w:rPr>
          <w:rFonts w:ascii="Arial" w:hAnsi="Arial" w:cs="Arial"/>
          <w:sz w:val="16"/>
          <w:szCs w:val="16"/>
        </w:rPr>
      </w:pPr>
    </w:p>
    <w:p w:rsidR="00AA545C" w:rsidRDefault="00AA545C">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The traditional economic model of functional separation, profit maximization, and economic efficiency is consistent with the principles of Newtonian physics (see Capra, 1982 ). The community, farm, and farmer are modeled as a machine with many complex and interrelated, but separable parts. If a part breaks, you have to fix it or replace it, but the machine can be made to function again. The direction of cause and effect are definite, if not readily discernible. The objective is to achieve maximum output relative to input through purposeful tinkering with causes and effects.</w:t>
      </w:r>
    </w:p>
    <w:p w:rsidR="00AA545C" w:rsidRDefault="00AA545C">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The sustainability model is much more consistent with the principles of quantum physics. The community, farm, and farmer are modeled as living biological organisms, each a whole in itself, but also made of a complexity of inseparable wholes" (Savory, Kirschenmann). If a critical part "breaks" the organism gets sick or dies. If it gets sick, it may heal itself if the illness is corrected in time. If it dies, it cannot be revived and made to function again. The nature of cause and effect is never completely definable. Everything is connected to everything else. Cause and effect are circular rather than one way. Purposeful change requires thoughtful intervention rather than tinkering. The objective is to sustain the health and productivity of the system over time. Continual change, regeneration, is a fundamental part of that process.</w:t>
      </w:r>
    </w:p>
    <w:p w:rsidR="00AA545C" w:rsidRDefault="00AA545C">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In biological models, individual elements must conform to their ecological niche. Big farms will be sustainable only if their "niche" is equally large. It is readily apparent that many of today's large farms are degrading both the natural and human resource base as they have expanded beyond their ecological and societal niches. It will take "mind work," not physical or economic muscle, for farmers of the future to find a niche where they can carry out their function by means that are ecologically sound, economically viable, and socially responsible. The vast majority of those niches will likely be smaller than today's large, "industrial-sized" farm.    . . .</w:t>
      </w: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http://web.missouri.edu/ikerdj/papers/AAE-SASA.htm</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[Book Review]</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Eugenia C. Kiesling, US Military Academy, West Point    -    Michigan War Studies Review</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Aug. 6, 2012</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Deaths of Others: The Fate of Civilians in America's Wars]</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John Tirman</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New York: Oxford Univ. Press, 2011. Pp. 408. ISBN 978–0–19–538121–4.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you ask American students how many people died in the Vietnam War, the usual response is   . . .  the American military death toll.   . . .     This experiment, part of my teaching routine at the US Military Academy, offers a salutary validation of the claims by political scientist John Tirman of MIT's Center for International Studies about American ignorance of the lethal consequences of our wars for noncombatants.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In The Deaths of Others, he interweaves the answers to three worthy questions: have American wars inflicted undue suffering on enemy civilians?   Why has the mistreatment of civilians persisted?  Why do Americans seem not to care?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indeed made war with callous disregard for its impact on civilians.    . . .     Tirman offers increasingly detailed discussions of deliberate US attacks on civilians during World War II and in Korea, Vietnam, Afghanistan, and Iraq.</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give only the most recent example, by the spring of 2006, American military operations in Iraq had caused about 655,000, mostly noncombatant, deaths  [Sidney Pollard, Peaceful Conquest: The Industrialization of Europe, 1760–1970 (NY: Oxford U Pr, 1981) 184–85; James J. Sheehan explores Europe's disavowal of war since 1945 in Where Have All the Soldiers Gone: The Transformation of Modern Europe (NY: Houghton Mifflin Harcourt, 2008)].</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more shocking are Tirman's descriptions of US participation in a wide range of horrific events in Korea, beginning with collaboration in President Syngman Rhee's massacres of political opponents even before the North Korean invasion.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of the book's most interesting sections deal with the complicated problem of counting civilian deaths. Tirman, formerly Senior Editor and Director of Communications for the Union of Concerned Scientists, makes a compelling case for the validity of epidemiological methods of analysis, which yield dramatically higher totals of civilian deaths.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book's second thread explains American willingness to make war on civilians, by combining Richard Slotkin's theory of the American frontier with US commitment to a policy of "rollback." Having first cleared their own soil of competitors, Americans then killed foreign civilians in order to liberate the world from communism (and later from the forces of tyranny or terrorism) without much considering whether those suffering under undesirable regimes actually desired liberation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general acceptance of civilian deaths constitutes the book's third thread. Tirman trenchantly observes that   . . .  American public   . . .   revulsion against the methods of US troops or the resulting civilian deaths  . . .  has never been a significant factor.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Tirman's explanation for this troubling American indifference to the suffering of others has three components: racism, the frontier myth, and   . . .  aversion.    . . .   Though part of the story, racism   . . .  cannot explain American lack of concern for civilian deaths in the Soviet Union, "a white nation with strong Christian roots."  Tirman prefers to highlight the influence of "the frontier myth" with its intrinsic notion of US exceptionalism. Again following Slotkin's Gunfighter Nation, he reasons that Americans are violent because they see themselves as engaged in a righteous struggle   . . .    Since World War II, communists and terrorists have replaced Native Americans as targets in the process of, in Slotkin's words, national "regeneration through violence."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native populations, then, whether friend or foe, are bit players in this drama and scarcely of concern   . . .    in the American view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Allied blockade of Germany in World War I, a calculated campaign against civilians that caused 763,000 German to die of malnutrition?  [C. Paul Vincent, The Politics of Hunger: The Allied Blockade of Germany, 1915–1919 (Athens: Ohio U Pr, 1985) p145]</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Britain's central role in the starvation of Germany, it is ironic that Tirman cites British sources to criticize US methods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The World War II Allied bombing campaigns against German and Japanese civilians had their doctrinal origins in the notion that precise attacks on selected economic and industrial "bottlenecks" would spare military and civilian lives alike. The actual results of this "surgical" approach to warfare were appalling, but the predictable consequences of an Axis victory facilitated cognitive dissonance.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http://www.miwsr.com/2012-044.aspx</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16"/>
          <w:szCs w:val="16"/>
        </w:rPr>
      </w:pPr>
    </w:p>
    <w:p w:rsidR="00AA545C" w:rsidRDefault="00AA545C">
      <w:pPr>
        <w:widowControl w:val="0"/>
        <w:autoSpaceDE w:val="0"/>
        <w:autoSpaceDN w:val="0"/>
        <w:adjustRightInd w:val="0"/>
        <w:spacing w:after="0" w:line="240" w:lineRule="auto"/>
        <w:rPr>
          <w:rFonts w:ascii="Times New Roman" w:hAnsi="Times New Roman" w:cs="Times New Roman"/>
          <w:sz w:val="16"/>
          <w:szCs w:val="16"/>
        </w:rPr>
      </w:pPr>
    </w:p>
    <w:p w:rsidR="00AA545C" w:rsidRDefault="00AA545C">
      <w:pPr>
        <w:widowControl w:val="0"/>
        <w:autoSpaceDE w:val="0"/>
        <w:autoSpaceDN w:val="0"/>
        <w:adjustRightInd w:val="0"/>
        <w:spacing w:after="0" w:line="240" w:lineRule="auto"/>
        <w:rPr>
          <w:rFonts w:ascii="Times New Roman" w:hAnsi="Times New Roman" w:cs="Times New Roman"/>
          <w:sz w:val="16"/>
          <w:szCs w:val="16"/>
        </w:rPr>
      </w:pPr>
    </w:p>
    <w:p w:rsidR="00AA545C" w:rsidRDefault="00AA545C">
      <w:pPr>
        <w:widowControl w:val="0"/>
        <w:autoSpaceDE w:val="0"/>
        <w:autoSpaceDN w:val="0"/>
        <w:adjustRightInd w:val="0"/>
        <w:spacing w:after="0" w:line="240" w:lineRule="auto"/>
        <w:rPr>
          <w:rFonts w:ascii="Times New Roman" w:hAnsi="Times New Roman" w:cs="Times New Roman"/>
          <w:sz w:val="16"/>
          <w:szCs w:val="16"/>
        </w:rPr>
      </w:pPr>
    </w:p>
    <w:p w:rsidR="00AA545C" w:rsidRDefault="00AA54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Political moralism, as we have lived it and are still living it, does not open the way to regeneration, and even more, also blocks it. The same is true, consequently, also for a Christianity and a theology that reduces the heart of Jesus' message, the "kingdom of God," to the "values of the kingdom."</w:t>
      </w:r>
    </w:p>
    <w:p w:rsidR="00AA545C" w:rsidRDefault="00AA545C">
      <w:pPr>
        <w:widowControl w:val="0"/>
        <w:autoSpaceDE w:val="0"/>
        <w:autoSpaceDN w:val="0"/>
        <w:adjustRightInd w:val="0"/>
        <w:spacing w:after="0" w:line="240" w:lineRule="auto"/>
        <w:rPr>
          <w:rFonts w:ascii="Arial" w:hAnsi="Arial" w:cs="Arial"/>
          <w:sz w:val="12"/>
          <w:szCs w:val="12"/>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On Europe's Crisis of Culture</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The Convent of Saint Scholastica</w:t>
      </w:r>
    </w:p>
    <w:p w:rsidR="00AA545C" w:rsidRDefault="00AA545C">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 XVI</w:t>
      </w:r>
    </w:p>
    <w:p w:rsidR="00AA545C" w:rsidRDefault="00AA545C">
      <w:pPr>
        <w:widowControl w:val="0"/>
        <w:autoSpaceDE w:val="0"/>
        <w:autoSpaceDN w:val="0"/>
        <w:adjustRightInd w:val="0"/>
        <w:spacing w:after="0" w:line="240" w:lineRule="auto"/>
        <w:rPr>
          <w:rFonts w:ascii="Times New Roman" w:hAnsi="Times New Roman" w:cs="Times New Roman"/>
          <w:sz w:val="16"/>
          <w:szCs w:val="16"/>
        </w:rPr>
      </w:pPr>
    </w:p>
    <w:p w:rsidR="00AA545C" w:rsidRDefault="00AA545C">
      <w:pPr>
        <w:widowControl w:val="0"/>
        <w:autoSpaceDE w:val="0"/>
        <w:autoSpaceDN w:val="0"/>
        <w:adjustRightInd w:val="0"/>
        <w:spacing w:after="0" w:line="240" w:lineRule="auto"/>
        <w:rPr>
          <w:rFonts w:ascii="Times New Roman" w:hAnsi="Times New Roman" w:cs="Times New Roman"/>
          <w:sz w:val="16"/>
          <w:szCs w:val="16"/>
        </w:rPr>
      </w:pPr>
    </w:p>
    <w:p w:rsidR="00AA545C" w:rsidRDefault="00AA545C">
      <w:pPr>
        <w:widowControl w:val="0"/>
        <w:autoSpaceDE w:val="0"/>
        <w:autoSpaceDN w:val="0"/>
        <w:adjustRightInd w:val="0"/>
        <w:spacing w:after="0" w:line="240" w:lineRule="auto"/>
        <w:rPr>
          <w:rFonts w:ascii="Times New Roman" w:hAnsi="Times New Roman" w:cs="Times New Roman"/>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Myth of Technological Progress</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Chandran Nair     -      South Asia Journal    -    Issue 4    -    April 2012</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current economic model assumes and appears to blindly advocate that technology and free markets can be the main drivers of human progress and development, thereby also overcoming challenges such as alleviating poverty.</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arguments are not backed by the facts and are a fallacy.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constant pursuit of technological advances   . . .  do serve the needs of a certain but small segment of the global population, do not however provide the means by which to meet the basic needs of the majority and, therefore, cannot lead to progress in an over-populated and resources-constrained planet.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Decision-makers have put their faith in consumption-led growth   . . .  and abdicated their responsibility to meeting people’s basic needs   . . .  and This approach is rooted in the Western economic model   . . .  a minority saw the world as their oyster and plundered other countries to create prosperity.   . . .  Developing nations perceived powerful Western states as the source of all knowledge and accepted the orthodoxy that they could “manufacture their way out of poverty”.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 can technologies that require reducing labour benefit the world’s most crowded region, at a time when there is a clear need to create gainful employment for many?</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can more chemical usage to meet food demand be appropriate for an environmentally stressed region?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can encouraging [people] to buy and drive more cars in Asia be the right policy for its cities and citizens?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can the Internet be treated as a sacred cow of free societies (and therefore economies) when so much of its band-width is pornography?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relentless pursuit of technological innovation is supposed to solve global challenges such as poverty and even resources depletion. In reality, technological progress has, in many instances, accelerated resources depletion rather than reduce it.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Decision-makers should not, therefore, freely promote the overrated concept of “innovation” without recognizing that relentless growth (propelled by so called technological innovations) jeopardizes our collective future as it overlooks the earth’s regenerative capacity and ignores limits.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---http://www.global-inst.com/downloads/press%20room/Chandran%20Nair.South%20Asia%20Jouirnal%20April%202012.pdf</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8"/>
          <w:szCs w:val="28"/>
        </w:rPr>
      </w:pPr>
    </w:p>
    <w:p w:rsidR="00AA545C" w:rsidRDefault="00AA545C">
      <w:pPr>
        <w:widowControl w:val="0"/>
        <w:autoSpaceDE w:val="0"/>
        <w:autoSpaceDN w:val="0"/>
        <w:adjustRightInd w:val="0"/>
        <w:spacing w:after="0" w:line="240" w:lineRule="auto"/>
        <w:rPr>
          <w:rFonts w:ascii="Times New Roman" w:hAnsi="Times New Roman" w:cs="Times New Roman"/>
          <w:sz w:val="28"/>
          <w:szCs w:val="28"/>
        </w:rPr>
      </w:pPr>
    </w:p>
    <w:p w:rsidR="00AA545C" w:rsidRDefault="00AA545C">
      <w:pPr>
        <w:widowControl w:val="0"/>
        <w:autoSpaceDE w:val="0"/>
        <w:autoSpaceDN w:val="0"/>
        <w:adjustRightInd w:val="0"/>
        <w:spacing w:after="0" w:line="240" w:lineRule="auto"/>
        <w:rPr>
          <w:rFonts w:ascii="Times New Roman" w:hAnsi="Times New Roman" w:cs="Times New Roman"/>
          <w:sz w:val="28"/>
          <w:szCs w:val="28"/>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"Graver Than Vietnam"</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Socialism Today #87, October 2004 </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September, the conflict in Iraq reached a new level of intensity. The countrywide insurgency, a national resistance made up of many different forces, grew stronger and became more extensive. It is clear that the US, British and other imperialist forces have lost control of most of the cities of the Sunni triangle    . . .    as well as large areas of the Shia south. The puppet government of Iyad Allawi, which rests on US-British military forces, has only very limited control even of Baghdad itself.</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and other occupying military forces operate from heavily guarded enclaves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Andrew Terrill, the top Iraqi expert at the US Army War College, spelled out the current situation: "We have a growing, maturing insurgency group. We see larger and more coordinated military attacks. They are getting better and they can self-regenerate. The idea there are x number of insurgents, and that when they are all dead we can get out, is wrong. The insurgency has shown an ability to regenerate itself because there are people willing to fill the ranks of those who are killed. Political culture is more hostile to the US presence. The longer we stay, the more they are confirmed in that view".  [Sidney Blumenthal, Far Graver than Vietnam, The Guardian, September 16]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synchronized double-act, Bush and Allawi presented a ludicrously rosy picture of the situation    . . .    A series of official reports and media leaks in the past few weeks have destroyed the last shreds of the phony justification used by Bush and Blair to launch the invasion.    . . .     Press reports of the draft report of Charles Duelfer, who replaced David Kay as the head of the Iraqi Survey Group, reveal that further investigation by the US arms inspectors have still found no evidence of programs to make chemical, biological or nuclear weapons.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 Bush's nominee as new head of the CIA, Porter Goss, had to admit in Senate confirmation hearings that claims by Bush and his officials that Saddam possessed so-called WMD and was linked to al-Qa'ida "appeared to have gone beyond what was spelled out in intelligence reports at the time". [International Herald Tribune, September 21]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Referring to the diversion of reconstruction funds to security, senator Chuck Hagel, said "It's beyond pitiful, it's beyond embarrassment. It is now in the zone of dangerous". [International Herald Tribune, September 17]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Countering the Bush-Blair claim that the occupation of Iraq is a necessary element of a 'war against terrorism', the British ambassador to Italy, Sir Ivor Roberts, bluntly spelled out the truth (in what he thought was an off-the-record meeting): "Bush is al-Qa'ida's best recruiting sergeant".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Bush regime places great emphasis on elections as a means of legitimizing the puppet interim regime and creating the impression that Iraq is progressing towards democracy. In reality, elections organized by the puppet government of an occupying power under conditions of mass insurgency will inevitably be fundamentally undemocratic.     . . .     If most of the population of the Sunni triangle are excluded from elections, or boycott rigged elections, the new national assembly will have no more legitimacy in their eyes than the current stooge interim assembly.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imperialism has failed to achieve any of its strategic aims in invading Iraq.    . . .   "I see no exit", comments Jeffrey Record, professor of strategy at the US Air War College. "We've been down that road before. It's called Vietnamization.     . . .   [Blumenthal, The Guardian, September 16]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Very late in the day, John Kerry has finally gone on to the offensive against Bush on his disastrous policy in Iraq, calling it "a crisis of historic proportions". But Kerry's previous wavering   . . .  may cost him the election. Whoever wins, US imperialism will still face a catastrophic situation in Iraq and a serious undermining of its power and prestige on the world arena.</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retired US general, William Odom, former head of the National Security Agency, comments: "This is far graver than Vietnam.   . . .    But now we are in a region far more volatile, and we are in much worse shape with our allies". [Blumenthal, The Guardian, September 16]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proper response to difficulty", asserts Bush, "is not to retreat, it is to prevail". But US imperialism, whether under his leadership or Kerry's, will not prevail. Despite US imperialism's colossal military power, it will be forced to retreat.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---http://www.socialistalternative.org/literature/occupation/graver.html</w:t>
      </w:r>
      <w:r>
        <w:rPr>
          <w:rFonts w:ascii="Arial" w:hAnsi="Arial" w:cs="Arial"/>
          <w:sz w:val="20"/>
          <w:szCs w:val="20"/>
        </w:rPr>
        <w:t xml:space="preserve"> </w:t>
      </w: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‘Dictatorial’ Anna Hazare is not about lasting social change</w:t>
      </w:r>
    </w:p>
    <w:p w:rsidR="00AA545C" w:rsidRDefault="00AA54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Sandip Roy     -      Jan 3, 2012</w:t>
      </w:r>
    </w:p>
    <w:p w:rsidR="00AA545C" w:rsidRDefault="00AA545C">
      <w:pPr>
        <w:widowControl w:val="0"/>
        <w:autoSpaceDE w:val="0"/>
        <w:autoSpaceDN w:val="0"/>
        <w:adjustRightInd w:val="0"/>
        <w:spacing w:after="0" w:line="240" w:lineRule="auto"/>
        <w:rPr>
          <w:rFonts w:ascii="Arial" w:hAnsi="Arial" w:cs="Arial"/>
          <w:sz w:val="12"/>
          <w:szCs w:val="12"/>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Reporter Jaideep Hardikar listed some of the bumps in the Anna record when it comes to his home state. In 1997-98 he failed to provide evidence against a Shiv Sena minister he had accused of corruption. In 1994 he accused Sharad Pawar of graft but then withdrew the allegation. He has been silent on accusations his volunteers face about extortion   . . .    in connection with his anti-graft crusade.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Anna Hazare might say he cannot control who supports him and who says what in such a broad-based movement. But Omvedt says Hazare “has quite explicitly, linked his vision of the self-sufficient village with the traditional hierarchy of caste duties, explicitly using caste names to describe the functions to be performed in the village.”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does not automatically translate into oppression of lower castes says Mukul Sharma who studied Ralegan Siddhi for his book Green and Saffron: Hindu Nationalism and Indian Environmental Politics.    . . .    He sees the village as joint family where everyone has an assigned useful role (be it farmer or chamar) and “where the people following him consider it their natural right to obey, and the exercising person thinks it a natural right to rule.”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Anna’s world view is really a village view – a village with one chamar, one kumhar, one sunar, and limited access to television and electronic media    . . .     Says Omvedt:   . . .   We must not forget that these idyllic village-communities, inoffensive though they may appear, had always been the solid foundation of Oriental despotism, that they restrained the human mind within the smallest possible compass, making it the unresisting tool of superstition, enslaving it beneath traditional rules, depriving it of all grandeur and historical energies.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“Hazare is perhaps the major figure on the Indian political scene to have as his base such a traditionally run village,” says Omvedt.    . . .   His idea of village regeneration is about a list of proscriptions and prescriptions writes Sharma in Kafila: No shop can sell bidis or cigarettes. Only religious films like Sant Tukaram can be screened. Only religious songs can be played on loudspeakers during marriages. It is true that the villagers themselves decided to live by these rules. But the question, say his former aides and colleagues, is does the rest of India want to live in Ralegan Siddhi?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---http://www.firstpost.com/politics/do-you-want-to-live-in-ralegan-siddhi-annas-problems-start-at-home-170869.html</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Introduction: The Revenge of Athena</w:t>
      </w:r>
    </w:p>
    <w:p w:rsidR="00AA545C" w:rsidRDefault="00AA54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Ziauddin Sardar</w:t>
      </w:r>
    </w:p>
    <w:p w:rsidR="00AA545C" w:rsidRDefault="00AA545C">
      <w:pPr>
        <w:widowControl w:val="0"/>
        <w:autoSpaceDE w:val="0"/>
        <w:autoSpaceDN w:val="0"/>
        <w:adjustRightInd w:val="0"/>
        <w:spacing w:after="0" w:line="240" w:lineRule="auto"/>
        <w:rPr>
          <w:rFonts w:ascii="Arial" w:hAnsi="Arial" w:cs="Arial"/>
          <w:sz w:val="12"/>
          <w:szCs w:val="12"/>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science - by which I mean science as it is practised today with its origins in the seventeenth-century European Enlightenment - is based on the extreme use of reason directed towards the extreme use of violence.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western science incorporates a fundamentalist attitude to reason: it is a tool of reduction with an essentially exclusionist methodology and its use is limited strictly within an ontological and epistemological framework. Reason is exclusive in the sense that there is no place in science for issues of morality or values for it is pure, clinical and neutral; only those aspects of a phenomenon which are amenable to pure reason are really worthy of investigation.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exclusive as only those who have been specially trained in the use of scientific reasoning have the right of access to knowledge and are the true judges of what constitutes scientific knowledge.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finally, it is exclusive in that reason constitutes the only legitimate way of knowing and is the only arbitrator of truth.</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tool of reduction, the use of reason in modern science is based on the theological belief that all phenomena can be reduced ad infinitum, that all systems can be broken into smaller and smaller components, and components of a system consist of discrete and atomized parts, that all systems operate on the same mechanical processes, and that it is possible to know the whole system by studying the components.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Material objects are reducible to sense-data; mental events and processes are reducible to physiological, physical or chemical events and processes in the brain; social structures and social processes are reducible to relationships between actions of individuals; biological systems are reducible to physical systems; philosophy is reducible to analysis; mathematics is reducible to logic; and what is not reducible is irrelevant.</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ediface of modern science is built upon this exclusivist and reductive use of reason, By raising reason to the level of a god, by exclusively limiting its use to a particular methodology by denying the existence of all other forms of knowing, western science has taken a fundamentalist position which can be defended only by declaring war on everything and everyone else.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western science is a theology of violence - with its own belief system, priesthood and temples - was announced at its inception; Francis Bacon's dictum that nature gives up her secrets under torture has been its motto.</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violence intrinsic in western science is not limited to nature. It is directed towards people and their built and natural environments, towards the lifestyles, culture and the modes of knowing, doing and being of those who live outside the borders of the Hellenic ideal - the contemporary 'barbarians'. Moreover, it manifests itself in extreme forms; consider, for example, the fact that over 80 per cent of all scientific research is devoted to the war industry aimed at a scale of violence that could destroy the earth several times!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war-like nature of modern science, as Vandana Shiva has pointed out, manifests itself in four distinctive ways: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1.Violence against the subject of knowledge. It is perpetuated socially through the sharp divide between the expert and the non-expert - a divide which converts the vast majority of non-experts into non-knowers even in those areas of life in which the responsibility of practice and action rests with them. But even the expert is not spared: the fragmentation of knowledge converts the expert into a non-knower in fields of knowledge other than that of his or her specialization.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Violence against the object of knowledge. This becomes evident when modern science, in a mindless effort to transform nature without a thought for the consequences, destroys the innate integrity of nature and thereby robs it of its regenerative capacity. The multidimensional ecological crises all the world over are eloquent testimonies of the violence that reductionist science perpetrates on nature.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Violence against the beneficiary of knowledge. Contrary to the claim of modern science that people are ultimately the beneficiaries of scientific knowledge, the people - particularly the poor - are its worst victims: they are deprived of their life-support systems in the reckless pillage of nature. Violence against nature recoils on man, the supposed beneficiary of all science.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Violence against knowledge. In order to prove itself superior to alternative modes of knowledge and be the only legitimate mode of knowing, reductionist science resorts to suppression and falsification of facts and thus commits violence against science itself which ought to be a search for truth.</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Revenge of Athena explores just how science perpetuates violence against the people, societies, economies, environments, traditions, cultures, ontologies and epistemologies of the Third World; and what possibilities the Third World can itself develop to meet the challenge of western science.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book grew out of a Consumer Association of Penang (CAP) seminar entitled 'The Crisis in Modern Science' held during 21-26 November 1986 in Penang, Malaysia. While not all the papers presented have been included in this volume, a number have been added to give a focus to the book.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Just as western medicine has taken control from women over their own bodies, including the natural process of birth, so also has contemporary technology destroyed indigenous methods of solving problems and replaced tried and trusted solutions with high-technology modern techniques. As Rakesh Kumar Sinha argues in 'Science and Efficiency: Exploding a Myth', modern technology operates on the 'logic'of centralization of production and concentration of economic and political power. But is this the most efficient way of doing things?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Sinha demonstrates that modern technology, contrary to popular belief, is a rather inefficient and wasteful enterprise. Indeed, when compared with traditional technologies, for example agricultural techniques and steelmaking, they turnout to be rather inferior. We can say the same about medicine.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I argue in 'Medicine and Metaphysics', the western medical establishment systematically destroyed Islamic medicine in India, Egypt and Tunisia throughout the colonial period. The idea was not that a superior system of medicine would serve the colonies, but that a particular world-view and life-style should be established. Both diseases and illnesses, as well as systems of medicine, are products of world-views.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suppression of traditional medicine and import of modern medicine in the Third World is intimately connected to poverty.As Claude Alvares shows in' The Redundancy of Drugs', in a typical developing country some 5,000 patented drugs may be imported. But only about 200 of these can be regarded as essential drugs making a positive contribution to the health of the society. The rest are either purely ineffectual or harmful - all are a major drain on foreign exchange and a source of fat profits for the pharmaceutical multinationals. Moreover, traditional medicine can provide cheap and effective alternatives for most essential drugs. The Third World therefore has little use for the western medical system which has epistemologically removed society from the domains of medicine. Western medicine is not concerned with promoting health in developing countries, but with underdeveloping them, with waging war on disease which it sees as a commodity, and with safeguarding the interests of the privileged and the powerful.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end product of the Green Revolution is not just the destruction of Third World agriculture, decimation of traditional agricultural practices, and transfer of arable land into vast wastelands    .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Nagarajan went on to ask: 'What does western science tell us, the traditional people of the world? It tells us that: Your crafts are useless. Your crops and plants are useless. Your food is useless. Your houses are useless. Your cropping patterns and agricultural patterns are useless. Your education is useless. Your knowledge is useless. Your religion and ethics are absolutely useless. Your culture is useless. Your soil is useless. Your medical system is useless. Your forests areuseless. Your irrigation system is useless. Your administration is useless. You are finally a useless fellow.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Notes and References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w:t>
      </w:r>
      <w:r>
        <w:rPr>
          <w:rFonts w:ascii="Arial" w:hAnsi="Arial" w:cs="Arial"/>
          <w:sz w:val="20"/>
          <w:szCs w:val="20"/>
        </w:rPr>
        <w:tab/>
        <w:t>Vandana Shiva, 'The Violence of Reductionist Science', Alternatives, 12 (2) 243-61 (April 1987).</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w:t>
      </w:r>
      <w:r>
        <w:rPr>
          <w:rFonts w:ascii="Arial" w:hAnsi="Arial" w:cs="Arial"/>
          <w:sz w:val="20"/>
          <w:szCs w:val="20"/>
        </w:rPr>
        <w:tab/>
        <w:t>For a general introduction to CAP's work, see Ziauddin Sardar, 'The Fight to Save Malaysia', New Scientist, 87, 700-703 (4 September 1980).</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w:t>
      </w:r>
      <w:r>
        <w:rPr>
          <w:rFonts w:ascii="Arial" w:hAnsi="Arial" w:cs="Arial"/>
          <w:sz w:val="20"/>
          <w:szCs w:val="20"/>
        </w:rPr>
        <w:tab/>
        <w:t>For an interesting discussion on the possibility of alternative science, see Friedrich Rapp, 'The Chances of Alternative Science and Technology', Research in Philosophy and Technology, Vol. 7, 159-76, JAI Press, 1984.</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w:t>
      </w:r>
      <w:r>
        <w:rPr>
          <w:rFonts w:ascii="Arial" w:hAnsi="Arial" w:cs="Arial"/>
          <w:sz w:val="20"/>
          <w:szCs w:val="20"/>
        </w:rPr>
        <w:tab/>
        <w:t>Fritjof Capra, the Turning Point, Flamingo, London, 1983.</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w:t>
      </w:r>
      <w:r>
        <w:rPr>
          <w:rFonts w:ascii="Arial" w:hAnsi="Arial" w:cs="Arial"/>
          <w:sz w:val="20"/>
          <w:szCs w:val="20"/>
        </w:rPr>
        <w:tab/>
        <w:t>Fritjof Capra, The Tao of Physics, Flamingo, London, 1976; Gary Zakav, The Dancing Wu Li Masters, Flamingo, London, 1979; William Irving Thompson, Pacific Shift, Sierra Club, San Francisco, 1986; and Ken Wilber, Eye to Eye: The Quest for the New Paradigm, Anchor, New York, 1983.</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w:t>
      </w:r>
      <w:r>
        <w:rPr>
          <w:rFonts w:ascii="Arial" w:hAnsi="Arial" w:cs="Arial"/>
          <w:sz w:val="20"/>
          <w:szCs w:val="20"/>
        </w:rPr>
        <w:tab/>
        <w:t>For various positions on the new paradigm thinking, see the fascinating presentations and discussions of the Symposium on 'Critical Questions about New Paradigm Thinking', Re- Vision, 9 (1) 5-98 (Summer/Fall 1986).</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7.</w:t>
      </w:r>
      <w:r>
        <w:rPr>
          <w:rFonts w:ascii="Arial" w:hAnsi="Arial" w:cs="Arial"/>
          <w:sz w:val="20"/>
          <w:szCs w:val="20"/>
        </w:rPr>
        <w:tab/>
        <w:t>For a more detailed discussion of the conceptual matrix, see Ziauddin Sardar (ed.), The Touch of Midas: Science, Values and the Environment in Islam and the West, Manchester University Press, Manchester, 1984.</w:t>
      </w:r>
    </w:p>
    <w:p w:rsidR="00AA545C" w:rsidRDefault="00AA545C">
      <w:pPr>
        <w:widowControl w:val="0"/>
        <w:autoSpaceDE w:val="0"/>
        <w:autoSpaceDN w:val="0"/>
        <w:adjustRightInd w:val="0"/>
        <w:spacing w:after="0" w:line="240" w:lineRule="auto"/>
        <w:rPr>
          <w:rFonts w:ascii="Times New Roman" w:hAnsi="Times New Roman" w:cs="Times New Roman"/>
          <w:sz w:val="12"/>
          <w:szCs w:val="12"/>
        </w:rPr>
      </w:pPr>
    </w:p>
    <w:p w:rsidR="00AA545C" w:rsidRDefault="00AA545C">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ab/>
      </w:r>
      <w:r>
        <w:rPr>
          <w:rFonts w:ascii="Times New Roman" w:hAnsi="Times New Roman" w:cs="Times New Roman"/>
          <w:sz w:val="20"/>
          <w:szCs w:val="20"/>
        </w:rPr>
        <w:tab/>
        <w:t>--- http://multiworldindia.org/wp-content/uploads/2010/05/The-Revenge-of-Athena.pdf</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http://multiworldindia.org/wp-content/uploads/2010/05/The-Revenge-of-Athena.rtf</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sz w:val="34"/>
          <w:szCs w:val="34"/>
        </w:rPr>
      </w:pPr>
    </w:p>
    <w:p w:rsidR="00AA545C" w:rsidRDefault="00AA545C">
      <w:pPr>
        <w:widowControl w:val="0"/>
        <w:autoSpaceDE w:val="0"/>
        <w:autoSpaceDN w:val="0"/>
        <w:adjustRightInd w:val="0"/>
        <w:spacing w:after="0" w:line="240" w:lineRule="auto"/>
        <w:rPr>
          <w:rFonts w:ascii="Times New Roman" w:hAnsi="Times New Roman" w:cs="Times New Roman"/>
          <w:sz w:val="34"/>
          <w:szCs w:val="34"/>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Local water diversely known: Walkerton Ontario, 2000 and after</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Joy Parr, Information and Media Studies, University of Western Ontario</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Pion publication printed in Great Britain    -   March 20, 2004</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narrative of the water contamination in Walkerton, Ontario, in 2000 - 02 I consider</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local priorities defining good water. These vernacular understandings emphasised taste, softness, and thrift in municipal water, and they highly valued local sovereignty in matters of water quality, and solidarity as a quality of local citizenship.</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using contemporaneous evidence from media reports and the judicial enquiry into the incident, I trace how the qualities of good water were redefined    . . .  The emphasis   . . .    and the implications    . . .    differ from the journalistic and judicial accounts which emphasise individual culpability.</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DOI:10.1068/d431</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study is a historian's analytical account of a recent event of geographical, epistemological, and political interest.</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Ontario town of Walkerton in the week which followed the 24 May holiday weekend in 2000, seven people, all elders and children, died from the effects of E coli O157.H7 in the town's water supply; in the six months thereafter, half the town's 4000 residents found their bodies inscribed by a chronic water-borne illness.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Blanket news coverage of events in town was carried nationally through the Canadian media. Both CNN and National Public Radio followed the story in the United States. Soon, far from this one town in the rural Ontario county of Bruce, people lost their sense of certainty about good water.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writing is theoretically informed. The reader will find here inflections and connections which depend upon my understandings of Ulrich Beck (1992 [1986]); Thomas Csordas (2002), Gilles Deleuze (1990), Donna Haraway (1991; 1997); David Howes (2003); Tim Ingold (2000); Michael Jackson (1983); and Bruno Latour (1987; 1996). But my work is pinioned in the instance.</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write amidst an edgy project of ‘sorting things out' (Bowker and Star, 1999), from the unruly not-yet-representational space which never quite entirely evades yet purposefully precedes abstraction.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Sorting out needs to begin even as community feelings remain too raw to ethically tolerate interviewing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first sign of trouble in Walkerton was diarrhea   . . .   Because the manager of the Public Utility Commission knowingly misled them with reports that the town water was `okay', staff of the local Medical Officer of Health initially focused their search on a food-borne source of the spreading illness.    . . .    On 23 May, as the pattern of the illness and the Public Utilities Commision's manager's deception became clear   . . .   Walkerton's drinking water [was] established as the source of the contaminant    . . .   The Concerned Walkerton Citizens was formed; their first step was to demand   . . .   a judicial inquiry   . . .   In the months and years ahead this group became key to the remaking of water knowledge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Townspeople soon would be relearning their water from unsettling new perspectives.   . . .  Journalistic narrative conventions immediately began to structure and frame what the public beyond Walkerton would know about the event, and what would remain beyond scrutiny.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reporter working to a deadline begins quickly to sort out the parties to an event into the roles a satisfying story will require: a hero, a villain, and a mobile chorus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Stan Koebel -- as manager of the Public Utilities Commission he became the</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putative villain  -   had gone to ground by 26 May. Testifiers to his villainy were not to be found.      . . .  But the text below the bold type characterised Koebel as an “upstanding member of the community”, trusted as a brother by his fellow volunteer fire-fighters, a decent man whose integrity was beyond reproach.   . . .    In his twenty-eight years as a civic employee, he had become “one of the most experienced guys around”.</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Koebel had shown himself capable and hardworking. He took pride in his work, and was always willing to go the extra mile to make sure things were done. And, as his bosses knew by observation, he commanded the respect of his peers amongst area waterworks managers.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the annoyance of the journalists from outside the area, there were no angry mobs or choruses of blame to be found in town.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who would speak generally expressed sympathy for a man in the unenviable predicament of having made an honest mistake.    . . .   Most appeals were not to speak ill of the town, or its water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Though most citizens did not have the expertise to pass judgments on engineering reports about the state of their wells, mains, and sewers or firsthand knowledge of the monitoring, testing, and chlorination practices of town public utilities employees, they felt confident, even obliged, to make reports when they perceived the water to be wanting. The terms of the pragmatic agreement about water in this sense were known. And to this extent citizens accepted that they were party to a shared town consensus about water and thus implicated in the consequences if that bargain had been flawed.</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Local water is a product of more complex systems than most people in Walkerton recognised. In this sense water bargains were flawed.</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Walkerton, as in the contested waterscapes of Equador and Spain which Eric Swyngedouw has so tellingly explored (1999), the local aquifer was a finely tuned communicator, a receptor of global influences which by unbidden reciprocity carried the local out toward the global.</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unwittingly, voters and householders engaged a daunting complexity, a coalescence of mechanical, chemical, human, and nonhuman organic agents, the fusing of social, biological, and technical processes (Haraway, 1991; Latour, 1993).</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those who gained their knowledge of events through the urban press, what made water differently meaningful in the spring of 2000 was a sense of threat, that what was happening in Walkerton could happen anywhere. This was the articulation the satellite trucks beamed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Walkerton a more complex understanding that the town bargain about water had been too simple and, by local practice, unsafe was dawning within an altered embodied space. The contaminated water townspeople drank changed bodily experience of being in Walkerton.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were days lived amidst the merged sensations of pain in the gut and the mingled smells of chlorine and excrement by the many local sickbeds in town, and overhead too many times there could be heard the dark beat of helicopter blades as the most gravely ill were evacuated to the nearest university hospital. In town all these experiences were understood as implications of the long-standing compact the community had made about their water and its guardians.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knowing and sense of shared responsibility, this different articulation, remained local, part of somatic and moral compass of the town.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Historically in Walkerton good water was understood as an arbitrage amongst taste, softness, and thrift.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towns, Walkerton among them, regarded water as an intrinsically municipal matter (Sancton and Janik, 2002, pages 30 - 31).</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Jim Boulden, a former mayor and public utilities commissioner told the O'Connor Inquiry, “we had a well run organisation. We didn't need somebody [the Ontario CleanWater Agency] to run it for us''.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many places, long after the regulation of the quality of schooling, medical care, and goods offered in trade was ceded to the competence of distant authorities, good water remained a homely matter,  a service nearly free, reliable by custom. Evading the current of centralising governance, the regulation of water outside large urban centres frequently remained a closely held community prerogative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Into his adulthood, Frank Koebel preferred the raw water to that treated with chlorine, which by taste he found less clean, fresh, and familiar.</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appeal of taste as the discriminator of good water is plain enough. Taste was historically the quality by which the value of springs and deep wells had been appraised. Unlike scientific tests hedged by the inferences from a sample collected in some single place in some past time, taste, as a sign of goodness, was an immediate and continuous sign.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they drank, drinkers, with each ingestion, believed they could judge the quality of the water. This reckoning depended upon local knowledge of local waters processed through local bodies according to local standards. It measured safety by the local history of bodily consequences.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residents discounted the expertise which counseled chlorination, as chlorination compromised taste for an impalpable, inferential, and counterintuitive promise of safety.   . . .   In their reasoning about good water the Koebels were not alone. As O'Connor noted in his report, local residents objected to the use of chlorine and often pressured their waterworks employees to decrease the amount injected into their water.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reactions of some townspeople against chlorination were strident. “Has everyone forgotten that chlorine is a poisonous gas that killed, blinded or choked thousands of troops in World War I .     ...    Poisons cause cancer. Period. What really are the long-term effects of drinking, washing and cleaning out homes with chlorine? You can just bet the bleach manufacturers and water treatmentplants aren't going to tell us!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“Will our water ever be ‘safe' again?'', Elaine Crilly demanded in the Herald-Times of 21 June, “By safe I mean clean and sparkling without chlorination?''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Walkerton paper published the same concern the next week, in a letter from Carol Barclay, who after being sick for five weeks with nausea, headaches, cramps, and diarrhoea wondered, “If over-chlorinated water is the only way to have `clean water' what then? Chlorine can kill too.''</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local aesthetic objections to chlorination were multiple and long-standing.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early December, soon after Frank Koebel's testimony to his own preference for raw water and his actions to keep the town water palatable in his terms, Brian Glover, one of the commission counsel, was intercepted in a local coffee shop by an elder who queried, “You that fella on TV? ...Well I got a complaint .... there's too much damn chlorine in the water'' (Perkel, 2002, page 209).</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long list on the war memorial of town sons who had perished on the toxic battlefields of World War 1 and the contemporary experience of chlorine as a corrosive agent made the positive association of chlorine with health and safety implausible.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These contending aesthetic preferences were complicated by the predisposition of the town toward thrift, a trait for which Walkerton was known in Bruce County.    . . .    Keeping costs down for customers was a matter of pride in Walkerton among municipal officials who paid close attention to budgets and expenditures, and ran their utility conservatively, building up ample reserves.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way ahead would be through converging and unsettling acknowledgments that knowledge is not complete, nor its constituting elements reconcilable, that life must continue amidst uncertainty, that neither tradition nor science were a sure refuge in times of trouble.   . . .</w:t>
      </w:r>
    </w:p>
    <w:p w:rsidR="00AA545C" w:rsidRDefault="00AA545C">
      <w:pPr>
        <w:widowControl w:val="0"/>
        <w:autoSpaceDE w:val="0"/>
        <w:autoSpaceDN w:val="0"/>
        <w:adjustRightInd w:val="0"/>
        <w:spacing w:after="0" w:line="240" w:lineRule="auto"/>
        <w:rPr>
          <w:rFonts w:ascii="Times New Roman" w:hAnsi="Times New Roman" w:cs="Times New Roman"/>
          <w:color w:val="FF0000"/>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color w:val="FF0000"/>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color w:val="FF0000"/>
          <w:sz w:val="16"/>
          <w:szCs w:val="16"/>
        </w:rPr>
      </w:pPr>
      <w:r>
        <w:rPr>
          <w:rFonts w:ascii="Times New Roman" w:hAnsi="Times New Roman" w:cs="Times New Roman"/>
          <w:color w:val="FF0000"/>
          <w:sz w:val="24"/>
          <w:szCs w:val="24"/>
        </w:rPr>
        <w:tab/>
        <w:t>{  Here is a fact.  2 + 2 = 4.</w:t>
      </w:r>
    </w:p>
    <w:p w:rsidR="00AA545C" w:rsidRDefault="00AA545C">
      <w:pPr>
        <w:widowControl w:val="0"/>
        <w:autoSpaceDE w:val="0"/>
        <w:autoSpaceDN w:val="0"/>
        <w:adjustRightInd w:val="0"/>
        <w:spacing w:after="0" w:line="240" w:lineRule="auto"/>
        <w:rPr>
          <w:rFonts w:ascii="Times New Roman" w:hAnsi="Times New Roman" w:cs="Times New Roman"/>
          <w:color w:val="FF0000"/>
          <w:sz w:val="16"/>
          <w:szCs w:val="16"/>
        </w:rPr>
      </w:pPr>
    </w:p>
    <w:p w:rsidR="00AA545C" w:rsidRDefault="00AA545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Now.  What about this fact is not complete?  }</w:t>
      </w:r>
    </w:p>
    <w:p w:rsidR="00AA545C" w:rsidRDefault="00AA545C">
      <w:pPr>
        <w:widowControl w:val="0"/>
        <w:autoSpaceDE w:val="0"/>
        <w:autoSpaceDN w:val="0"/>
        <w:adjustRightInd w:val="0"/>
        <w:spacing w:after="0" w:line="240" w:lineRule="auto"/>
        <w:rPr>
          <w:rFonts w:ascii="Times New Roman" w:hAnsi="Times New Roman" w:cs="Times New Roman"/>
          <w:color w:val="FF0000"/>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color w:val="FF0000"/>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color w:val="FF0000"/>
          <w:sz w:val="24"/>
          <w:szCs w:val="24"/>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residents of Walkerton had not believed that their preferences  . . .  compromised their safety. The employees of the town waterworks regularly drank water from the raw side at the wells   . . .    The residents of Walkerton believed that their well water had been purged of impurities by geological processes.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October Saturday before the O'Connor Inquiry hearings began in Walkerton, the Toronto Star published a special report, “The anatomy of a preventable tragedy'', which by bold headline accused: “Town knew wells were unsafe''. The headline was wrong.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MOE inspection report in May 1998 had found, and not for the first time, serious problems in the operation of the Walkerton water system: E coli in a significant number of water samples; inadequate chlorine residuals, sampling, record keeping, and training. The inspector, Michelle Zillinger, in her report at that time emphasised the need for the Walkerton Public Utilities Commission to comply with the Ontario Drinking Water Objectives.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Stan Koebel promised the commissioners that he would correct the deficient practices.Without question they accepted his assurances. When the Zillinger inspection document was tabled at the June meeting of municipal council, one councillor, Mary Robinson-Ramsay, suggested that the town's noncom- pliance with the Ontario Drinking Water Objectives would be better remedied by engaging the “regular and on-going technical expertise'' of a consulting engineer or a municipal director of public works. She found little sympathy for this proposal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when pressed in December 2000 by lawyers representing the Ontario government to find fault with her fellow members of council, she would not oblige.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Plainly, risk assessments about water in 2000 were being made according to two knowledge systems, one vernacular and dependent on the senses and the local oral traditions by which such sensuous information was passed on, the other professional and dependent on scientific data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it became apparent during background interviews for their appearances at the inquiry that the Koebel brothers and their staff had been falsifying chlorination records, Cavaluzzo O'Connor's lead counsel in Walkerton and both the Koebels' own attorneys were confounded.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None had experience with fraud that was not grounded in greed (Perkel, 2002, page 203). In the inquiry hearing room many hours were spent reading documents into the record, a process which baffled local residents unfamiliar with lawyerly standards of evidence.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Many hours, too, were spent trying, in vain, to place on record the oral transmission   . . .   from this individual to that individual of the unspoken consensus shared in town about how to know good water.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Like citizens across Canada, and around the world in the 1980s and 1990s, the people of Walkerton had been persuaded by the promises that smaller public sectors would be more effective and that private services guided by market incentives more efficient.  . . .   In Walkerton these contemporary global ideological currents had amplified rural and small town confidence that modest self-sufficiency and careful attention to spending were the watchwords of good governance.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Koebels, and the many other waterworks operators with grandparented certifications, were not running their systems with “unguided practical experience'' (Grover and Zussman, 1985, cited in Benidickson, 2002, page 132), as some have accused. They were guided by experience their communities shared and respected. They acted not in the absence of knowledge, in a vacuum calling out to be filled, but on a series of propositions held in common which were integral to the valued cognitive sovereignty of their community.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Globe and Mail editorial refused Koebel the sanctuary of ignorance, and condemned his behaviour as a “sort of calculated deceit''. The Toronto Star published a stinging parody by Joey Slinger of a small town where nepotism, drunken debauchery, petty violence, and fractious complicity prevailed along streets piled high with manure.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Finlay, the Herald-Times columnist, by avocation a member of a Christian Peace-makers team, put in print the reasoning of many in Walkerton. Frank Koebel believed in the town's water, as many others in Walkerton and in other communities had for 150 years. “This faith was either misplaced or a bit too old-fashioned. It didn't keep pace with changing technology, land use practices and other environmental considerations.''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References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Beck U, 1992 Risk Society: Towards a New Modernity translated by M Ritter (Sage, London), first published in 1986</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Benidickson J, 2002, “Water supply and sewage infrastructure in Ontario, 1880-1990s'', Walkerton Inquiry Commissioned Paper 1, available on CD version of Report of theWalkerton Inquiry (Queen's Printers, Toronto)</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Bijsterveld K, 2001, “The diabolical symphony of the mechanical age: technology and the symbolism of sound in European and North American noise abatement campaigns, 1900-40'' Social Studies of Science 31(1) 37-70</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Bowker G C, Star S L, 1999 Sorting Things Out: Classification and Its Consequences (MIT Press, Cambridge, MA)</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Bruce Grey Owen SoundHealthUnit, 2000, “The investigative report on theWalkerton outbreak of waterborne gastroenteritis, May - June 2000'' http://www.publichealthgreybruce.on.ca</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Burke P, 1993, ``Notes for a social history of silence in early modern Europe'', in Art of Conversation (Cornell University Press, Ithaca, NY) pp 123 - 141</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Busch L,TanakaK,1996 ``Rites of passage: constructing quality in a commodity subsector'' Science, Technology and Human Values 21(1) 3 - 27</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Classen C, 1993 Worlds of Sense: Exploring the Senses in History and Across Cultures (Routledge, London)</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Csordas T J, 2002 Body/Meaning/Healing (Palgrave Macmillan, New York)</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Deleuze G, 1990 The Logic of Sense translated byMLester, C Stivale, Ed. C V Boundas (Columbia University Press, New York)</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Douglas M, Wildavsky A, 1982 Risk and Culture: An Essay on the Selection of Technological and Environmental Dangers (University of California Press, Berkeley, CA) Grover B, Zussman D, 1985, ``Safeguarding Canadian drinking water'', Inquiry on Federal Water Resources, research paper number 4, ......</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Haraway D, 1991 Simians, Cyborgs and Women: The Reinvention of Nature (Routledge, New York)</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Haraway D, 1997 Modest Witness@Second Millennium. FemaleManß Meets Oncomouse2: Feminism and Technoscience (Routledge, New York)</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Howes D, 2003 Sensual Relations: Engaging the Senses in Culture and Social Theory (University of Michigan Press, Ann Arbor, MI)</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Ingold T, 2000 The Perception of the Environment: Essays on Livelihood, Dwelling and Skill (Routledge, London)</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Jackson M, 1983, “Knowledge of the body'' Man New Series 18 327 - 345</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Latour B, 1987 Science in Action: How to Follow Scientists and Engineers Through Society (Open University Press, Milton Keynes)</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Latour B, 1993 We Have Never Been Modern (Harvard University Press, Cambridge, MA)</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Latour B, 1996 Aramis, or, the Love of Technology translated by C Porter (Harvard University Press, Cambridge, MA) MOE, 1984 Ontario DrinkingWater Objectives Ministry of the Environment, Toronto</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Parr J, 2001, ``Notes for a more sensuous history of twentieth century Canada: the timely, the tacit and the material body'' Canadian Historical Review 82 (4 December) 720 - 745</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Perkel C, 2002 Well of Lies: TheWalkerton Tragedy (McClelland and Stewart, Toronto, Ontario)</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Sancton A, Janik T, 2002, ```Provincial ^ local relations and the drinking water in Ontario'', Walkerton Inquiry Commissioned Paper 3, available on CD version of Report of the Walkerton Inquiry (Queen's Printers, Toronto)</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Sims B, 1999, ``Concrete practices: testing in an earthquake-engineering laboratory'' Social Studies 29(4) 488 - 489</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Swyngedouw E , 1999, ``Modernity and hybridity: nature, regeneracionismo, and the production of the Spanish waterscape, 1890-1930 ''Annals of the Association of American Geographers 89(3) 91 - 102</w:t>
      </w:r>
    </w:p>
    <w:p w:rsidR="00AA545C" w:rsidRDefault="00AA545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Thornton J, 2000 Pandora's Poison: Chlorine,Health and aNew Environmental Strategy (MIT Press, Cambridge MA)</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8"/>
          <w:szCs w:val="18"/>
        </w:rPr>
        <w:t>White G C, 1999 Handbook of Chlorination and Alternative Disinfectants 4th edition (John Wiley, New York)</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http://publish.uwo.ca/~jparr/water.pdf</w:t>
      </w: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 without Europe?: If the West Collapses: Implications for American Foreign Policy</w:t>
      </w:r>
    </w:p>
    <w:p w:rsidR="00AA545C" w:rsidRDefault="00AA54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Professor James Goldgeier</w:t>
      </w:r>
    </w:p>
    <w:p w:rsidR="00AA545C" w:rsidRDefault="00AA545C">
      <w:pPr>
        <w:widowControl w:val="0"/>
        <w:autoSpaceDE w:val="0"/>
        <w:autoSpaceDN w:val="0"/>
        <w:adjustRightInd w:val="0"/>
        <w:spacing w:after="0" w:line="240" w:lineRule="auto"/>
        <w:rPr>
          <w:rFonts w:ascii="Arial" w:hAnsi="Arial" w:cs="Arial"/>
          <w:sz w:val="12"/>
          <w:szCs w:val="12"/>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Cold War ended, a group of prominent social scientists – the international relations realists – provided a grim assessment of the future amidst the optimistic proclamations of a new world order. Without the threat of the Soviet Union to unite them, the realists argued, America and Europe would part ways. “NATO’s days are not numbered, but its years are,” wrote Kenneth Waltz. [1]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Naazneen Barma and Ely Ratner have argued that “the rise of China presents the West, for the first time since the fall of the Berlin Wall, with a formidable ideological challenge to [the democratic liberal] paradigm.” They argue that this new model combines “illiberal capitalism” (free markets but authoritarian politics) and “illiberal sovereignty” (a rejection of the right of the international community to intervene in internal affairs) that is enabling China to forge ties with like-minded countries in Africa, Latin America, Asia and the Middle East. [9]</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China’s rise as an ideological challenger might lead America and Europe to draw closer together as they did in the face of the Soviet challenge. But the post-World War II international order was sustained by the American commitment to multilateralism that gave rise to new political, economic, and military institutions that consolidated the West as more than just an idea. What happens if multilateralism has collapsed?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NATO mission in Afghanistan    . . .   may well fail. Most European countries, notably France, Germany, Italy and Spain, are unwilling to send their troops on dangerous missions, leaving that work largely to the Americans, Canadians, British and Dutch (as well as the Australians).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NATO fails in its Afghanistan mission, those countries that were willing to engage Taliban forces will not soon forgive those that were not. If NATO cannot pacify Afghanistan, then it is hard to imagine that the United States will see any value in working formally through NATO to deal with the growing challenges from the Islamic world.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Failure in Afghanistan might well occur in conjunction with a continuing divergence in values across the Atlantic, a divergence brought about in part due to a conscious European policy to utilize anti-American sentiment as a means of salvaging the European project.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possible that the summer of 2004 will be viewed as the moment when the project to build a single Europe began to come unglued.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it far-fetched to imagine European elites turning to anti-Americanism in desperation as a means to regenerate the European project and foster greater unity? [12]</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elites could argue that America was ill-suited to dominate world affairs because its values were so out of step with the rest of the world, and that Europe could not afford to be divided. A few winters without snow in the Alps or a few summers of searing drought might help bring the point home. And as the opposite sides of the Atlantic looked more and more different, the Western community might no longer be sustainable, and, just as Charles Kupchan predicted, Washington and Brussels by 2020 might go the way of Rome and Constantinople in an earlier era. [13]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already seeing reversals of democratic trends in Latin America and Eurasia. After failure in Iraq and an inability of the United States to articulate a freedom agenda forcefully in its aftermath, democratic reversals might well become more commonplace around the world.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Yhe Middle East is    . . .   a region in which Iran will emerge as a leading actor while Lebanon, Palestine, Jordan, and Egypt may all become engulfed in crisis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If America and Europe go their separate ways, it is hard to see how core international institutions, including the World Trade Organization, the United Nations, and the G-8 (not to mention NATO), could function.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2020, we may well look back on the early years of the century incredulous that America’s war to prevent Saddam Hussein from developing weapons he did not possess distracted the country from preventing North Korea and Iran from pursuing nuclear weapons programs, which then opened to floodgates to others to follow, such as Egypt, Saudi Arabia, and Japan.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world in which the non-proliferation regime has collapsed, and in which the Europeans no longer felt secure under the American nuclear umbrella, would the EU seek to develop its own program? What would the reaction be of the two current European nuclear states, the United Kingdom and France to a broader European effort to build nuclear weapons?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Being able to count on European intelligence services and banks has been a crucial aspect of American policy, one that could be severely compromised if America and Europe part ways.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Endnotes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 Kenneth N. Waltz, “The Emerging Structure of International Politics,” International Security 18 (Fall 1993): 76.</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[9] Naazneen Barma and Ely Ratner, “China’s Illiberal Challenge,” DemocracyJournal.org (Fall 2006), p. 57.</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[12] See, for example, Andrei Markovits, Uncouth Nation: Why Europe Dislikes America (Princeton: Princeton University Press, 2007).</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[13] Kupchan, The End of the American Era.</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http://www.europaeum.org/files/publications/reports/AmericaEurope2020.pdf</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 not let us forget the civilizing task which the decrees of Providence have assigned to us. Just as Prussia was destined to be the nucleus of Germany, so the regenerated Germany shall be the nucleus of a future empire of the West. And in order that no one shall be left in doubt we proclaim from henceforth that our continental nation has a right to the sea, not only to the North-Sea, but to the Mediterranean and the Atlantic. Hence we intend to absorb one after another all the provinces which neighbor on Prussia.</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will successively annex Denmark, Holland, Belgium, Northern Switzerland, then Trieste and Venice, finally northern France, from the Sambre to the Loire. This program we fearlessly pronounce. It is not the work of a madman. The empire we intend to found will be no Utopia. We have ready to hand the means of founding it and no coalition in the world can stop us.</w:t>
      </w:r>
    </w:p>
    <w:p w:rsidR="00AA545C" w:rsidRDefault="00AA545C">
      <w:pPr>
        <w:widowControl w:val="0"/>
        <w:autoSpaceDE w:val="0"/>
        <w:autoSpaceDN w:val="0"/>
        <w:adjustRightInd w:val="0"/>
        <w:spacing w:after="0" w:line="240" w:lineRule="auto"/>
        <w:rPr>
          <w:rFonts w:ascii="Arial" w:hAnsi="Arial" w:cs="Arial"/>
          <w:sz w:val="12"/>
          <w:szCs w:val="12"/>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Bronsart von Schellendorf</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From Political Democracy to Social Democracy</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Guido Riveros Franck   -    Democracy, a Universal Value?</w:t>
      </w:r>
    </w:p>
    <w:p w:rsidR="00AA545C" w:rsidRDefault="00AA54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Annual International Conference, Casablanca, Morocco, June 8-9, 2007</w:t>
      </w:r>
    </w:p>
    <w:p w:rsidR="00AA545C" w:rsidRDefault="00AA545C">
      <w:pPr>
        <w:widowControl w:val="0"/>
        <w:autoSpaceDE w:val="0"/>
        <w:autoSpaceDN w:val="0"/>
        <w:adjustRightInd w:val="0"/>
        <w:spacing w:after="0" w:line="240" w:lineRule="auto"/>
        <w:rPr>
          <w:rFonts w:ascii="Arial" w:hAnsi="Arial" w:cs="Arial"/>
          <w:sz w:val="12"/>
          <w:szCs w:val="12"/>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is democracy unable to handle our [Latin American] economies more efficiently and why does it not have the capacity to ensure fairer distribution of income among the various classes of the population?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reached a point at which the poorest and most marginalized sectors of the population, the indigenous peoples, or “aboriginals,” and peasant labourers do not identify with “neo-liberal democracy” or with the current party system.</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has increased distrust of those in power, of representational mechanisms such as he natonal parliament, local deliberative bodies and the political class, all of which are instruments that have proven to be incapable of meeting the demands of employment, productive investment and social inclusion.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perception of the citizenry is that democracy has not solved its problems. The political parties that were able to articulate a utopia of freedom during the dictatorships to garner approval from a large part of the population thus gaining significant support and political legitimacy, have not turned out to be very creative. They were too limited by the demands of international organizations, and lacked the courage or conviction to create an alternative discourse with greater social content and national vision.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seem that through globalization, “the power to make decisions regarding the direction of economic political development has been effectively transferred from countries to detached, distant, and undemocratic multilateral bodies such as the IMF, WB and WTO.”</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the pro-government parties and the opposition parties have been trapped in the labyrinth of power and the absence of creative intellectual debate. They have been bereft of new ideologies and values to make them political attractive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began to identify the political players and those in power with large economic corporations and “transnational companies” which pillage our natural resources, circumvent tax laws, and do not generate stable or well-paid employment.</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to the demands of “structural [economic] reforms” came the establishment of a market economy which dismantled the weak State apparatuses, taking away from their ability to deal with issues of education, health, production, housing, climate vulnerability (drought, floods, natural disasters), and lack of protection for the national market, particularly “sensitive [agricultural] products.”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2004, according to the report on democracy in Latin America prepared by the United Nations Development Programme, 47% supported democracy in Mexico and Central America, 44% in the MERCOSUR region of South America, and 37% in the Andean region.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Party apparatuses held fast to a bureaucratic-legal logic, in which “democratic formality” was more important than the citizens’ demand for greater openness in the political system and equality of opportunity in the exercise of political representation. Political parties entered a crisis and lost popular support because they were no longer “social aggregators” representing collective and majority interests; they lost their connection to society and no longer spoke of a national plan. They were more interested in the market than the state, they encouraged private interests to the detriment of public interests, and they became more elitist and removed from the people.   . . .   Political parties began to isolate and close themselves off, and no longer genuinely represented the citizens.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Substitutes for political organizations began to emerge, in a quest to establish party-free politics.    . . .    Parties were structures without a democratic internal life, with leaders in positions for life and with programmes that reflected their economic and business interests. This explains why, for a large part of our history, political parties have obeyed a given sector of society, and have not transversally represented it.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market grows and the State shrinks, the result is a fragmented society of innumerable nuclei and scattered groups. Rapidly, gaps appear between urban and rural areas; between powerful industrial cities and cities stagnating in their economic past; and between the capital cities of the republic and other cities lobbying for a decentralization of administrative bureaucracy.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avoid the ongoing and draining rupture between society and politics, it is necessary to perfect, through the political inclusion of the social movements which speak for “direct democracy,” the mechanisms of “representative democracy”   . . .  are losing legitimacy.</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stop “the bureaucratization of democracy and [to avoid] the bureaucratization of social representation,” it is necessary to develop a legal body which will enable the political regeneration of the parties, but which, at the same time, will include organized social movements    . . .</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Only a national consensus, in which all participate and present hegemonies are shunted to the side, can restore meaning to politics and make it attractive and credible once again in the eyes of the citizenry. Taking the path of imposition of a circumstantial majority that ignores civil society, or one that seeks absolute societal control and quashes all forms of political organization, is to continue the vicious cycle of antagonistic confrontation that paralyzes and drains the energy necessary to design new public spaces and build a Nation State that guarantees social cohesion.</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Huntington points out, “two groups which only consider each other enemies cannot constitute the foundation of a community”: they do not build a sense of national belonging, they do not create a vision of a country, and they do not guarantee peaceful, equitable and efficient democratic sustainability.</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Footnotes</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 Francisco Rojas, “El nuevo mapa político latinoamericano,” Revista Nueva Sociedad, 2006.</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 UNDP, Informe sobre el desarrollo humano, 1999.</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 Cándido Grzybowski, “Democracia, sociedad civil y política en América Latina: notas para un debate,” UNDP, 2004.</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4 Manuel Antonio Garretón, “La indispensable y problemática relación entre partidos y democracia,” 2004.</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5 Alain Touraine, Un nuevo paradigma. Editorial Paidos, 2006.</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6 Amitai Etzioni, La nueva regla de oro, Editorial Paidos, 1999.</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7 Fernando Calderón, “Notas sobre la crisis de legitimidad del estado y la democracia,” UNDP, 2004.</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8 Jardin Celi Pinto, “Ciudadanía y democracia: los aportes de una perspectiva de género,” UNDP, 2004.</w:t>
      </w:r>
    </w:p>
    <w:p w:rsidR="00AA545C" w:rsidRDefault="00AA545C">
      <w:pPr>
        <w:widowControl w:val="0"/>
        <w:autoSpaceDE w:val="0"/>
        <w:autoSpaceDN w:val="0"/>
        <w:adjustRightInd w:val="0"/>
        <w:spacing w:after="0" w:line="240" w:lineRule="auto"/>
        <w:rPr>
          <w:rFonts w:ascii="Arial" w:hAnsi="Arial" w:cs="Arial"/>
          <w:sz w:val="12"/>
          <w:szCs w:val="12"/>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http://www.dd-rd.ca/site/_PDF/publications/afrique/Conf-Maroc-eng.pdf</w:t>
      </w: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great organ bazaar</w:t>
      </w:r>
      <w:r>
        <w:rPr>
          <w:rFonts w:ascii="Times New Roman" w:hAnsi="Times New Roman" w:cs="Times New Roman"/>
          <w:sz w:val="24"/>
          <w:szCs w:val="24"/>
        </w:rPr>
        <w:t xml:space="preserve">  </w:t>
      </w: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Susanne Lundin, Professor of Ethnology Lund University, Sweden</w:t>
      </w:r>
    </w:p>
    <w:p w:rsidR="00AA545C" w:rsidRDefault="00AA54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 Jazeera     -     July 9, 2011</w:t>
      </w:r>
    </w:p>
    <w:p w:rsidR="00AA545C" w:rsidRDefault="00AA545C">
      <w:pPr>
        <w:widowControl w:val="0"/>
        <w:autoSpaceDE w:val="0"/>
        <w:autoSpaceDN w:val="0"/>
        <w:adjustRightInd w:val="0"/>
        <w:spacing w:after="0" w:line="240" w:lineRule="auto"/>
        <w:rPr>
          <w:rFonts w:ascii="Arial" w:hAnsi="Arial" w:cs="Arial"/>
          <w:sz w:val="12"/>
          <w:szCs w:val="12"/>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internet's role in illegal organ sales is growing    . . .  </w:t>
      </w: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16"/>
          <w:szCs w:val="16"/>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medicine starts with the view that human illness and death are failures to be combated. It is within this conceptual climate - the dream of the regenerative body - that transplantation technology develops and demand for biological replacement parts grows.   . . .</w:t>
      </w:r>
    </w:p>
    <w:p w:rsidR="00AA545C" w:rsidRDefault="00AA545C">
      <w:pPr>
        <w:widowControl w:val="0"/>
        <w:autoSpaceDE w:val="0"/>
        <w:autoSpaceDN w:val="0"/>
        <w:adjustRightInd w:val="0"/>
        <w:spacing w:after="0" w:line="240" w:lineRule="auto"/>
        <w:rPr>
          <w:rFonts w:ascii="Times New Roman" w:hAnsi="Times New Roman" w:cs="Times New Roman"/>
          <w:sz w:val="12"/>
          <w:szCs w:val="12"/>
        </w:rPr>
      </w:pP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http://english.aljazeera.net/indepth/opinion/2011/06/2011622124232636233.html</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p>
    <w:p w:rsidR="00AA545C" w:rsidRDefault="00AA545C">
      <w:pPr>
        <w:widowControl w:val="0"/>
        <w:autoSpaceDE w:val="0"/>
        <w:autoSpaceDN w:val="0"/>
        <w:adjustRightInd w:val="0"/>
        <w:spacing w:after="0" w:line="240" w:lineRule="auto"/>
        <w:rPr>
          <w:rFonts w:ascii="Times New Roman" w:hAnsi="Times New Roman" w:cs="Times New Roman"/>
          <w:sz w:val="24"/>
          <w:szCs w:val="24"/>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Arial" w:hAnsi="Arial" w:cs="Arial"/>
          <w:sz w:val="20"/>
          <w:szCs w:val="20"/>
        </w:rPr>
      </w:pPr>
    </w:p>
    <w:p w:rsidR="00AA545C" w:rsidRDefault="00AA545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AA545C" w:rsidRDefault="00AA545C">
      <w:pPr>
        <w:widowControl w:val="0"/>
        <w:autoSpaceDE w:val="0"/>
        <w:autoSpaceDN w:val="0"/>
        <w:adjustRightInd w:val="0"/>
        <w:spacing w:after="0" w:line="240" w:lineRule="auto"/>
        <w:rPr>
          <w:rFonts w:ascii="Times New Roman" w:hAnsi="Times New Roman" w:cs="Times New Roman"/>
          <w:sz w:val="34"/>
          <w:szCs w:val="34"/>
        </w:rPr>
      </w:pPr>
    </w:p>
    <w:p w:rsidR="00AA545C" w:rsidRDefault="00AA54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AA545C" w:rsidSect="00AA545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45C" w:rsidRDefault="00AA545C" w:rsidP="00AA545C">
      <w:pPr>
        <w:spacing w:after="0" w:line="240" w:lineRule="auto"/>
      </w:pPr>
      <w:r>
        <w:separator/>
      </w:r>
    </w:p>
  </w:endnote>
  <w:endnote w:type="continuationSeparator" w:id="0">
    <w:p w:rsidR="00AA545C" w:rsidRDefault="00AA545C" w:rsidP="00AA54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45C" w:rsidRDefault="00AA545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45C" w:rsidRDefault="00AA545C" w:rsidP="00AA545C">
      <w:pPr>
        <w:spacing w:after="0" w:line="240" w:lineRule="auto"/>
      </w:pPr>
      <w:r>
        <w:separator/>
      </w:r>
    </w:p>
  </w:footnote>
  <w:footnote w:type="continuationSeparator" w:id="0">
    <w:p w:rsidR="00AA545C" w:rsidRDefault="00AA545C" w:rsidP="00AA54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45C" w:rsidRDefault="00AA545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545C"/>
    <w:rsid w:val="00A451C3"/>
    <w:rsid w:val="00AA545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9195</Words>
  <Characters>52412</Characters>
  <Application>Microsoft Office Word</Application>
  <DocSecurity>4</DocSecurity>
  <Lines>436</Lines>
  <Paragraphs>122</Paragraphs>
  <ScaleCrop>false</ScaleCrop>
  <Company/>
  <LinksUpToDate>false</LinksUpToDate>
  <CharactersWithSpaces>61485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2016-05-16T14:46:00Z</dcterms:created>
  <dcterms:modified xsi:type="dcterms:W3CDTF">2016-05-16T14:46:00Z</dcterms:modified>
</cp:coreProperties>
</file>